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59" w:rsidRPr="00EF0259" w:rsidRDefault="00EF0259" w:rsidP="00EF0259">
      <w:pPr>
        <w:shd w:val="clear" w:color="auto" w:fill="FFFFFF"/>
        <w:spacing w:after="150" w:line="300" w:lineRule="atLeast"/>
        <w:jc w:val="center"/>
        <w:rPr>
          <w:rFonts w:ascii="Geometria" w:eastAsia="Times New Roman" w:hAnsi="Geometria" w:cs="Times New Roman"/>
          <w:b/>
          <w:bCs/>
          <w:color w:val="333333"/>
          <w:sz w:val="27"/>
          <w:szCs w:val="27"/>
          <w:lang w:eastAsia="ru-RU"/>
        </w:rPr>
      </w:pPr>
      <w:r w:rsidRPr="00EF0259">
        <w:rPr>
          <w:rFonts w:ascii="Geometria" w:eastAsia="Times New Roman" w:hAnsi="Geometria" w:cs="Times New Roman"/>
          <w:b/>
          <w:bCs/>
          <w:color w:val="333333"/>
          <w:sz w:val="27"/>
          <w:szCs w:val="27"/>
          <w:lang w:eastAsia="ru-RU"/>
        </w:rPr>
        <w:t>Программа предоставления льготных кредитов субъектам малого и среднего предпринимательства</w:t>
      </w:r>
      <w:r w:rsidRPr="00EF0259">
        <w:rPr>
          <w:rFonts w:ascii="Geometria" w:eastAsia="Times New Roman" w:hAnsi="Geometria" w:cs="Times New Roman"/>
          <w:b/>
          <w:bCs/>
          <w:color w:val="333333"/>
          <w:sz w:val="24"/>
          <w:szCs w:val="24"/>
          <w:lang w:eastAsia="ru-RU"/>
        </w:rPr>
        <w:br/>
      </w:r>
      <w:r w:rsidRPr="00EF0259">
        <w:rPr>
          <w:rFonts w:ascii="Geometria" w:eastAsia="Times New Roman" w:hAnsi="Geometria" w:cs="Times New Roman"/>
          <w:b/>
          <w:bCs/>
          <w:color w:val="333333"/>
          <w:sz w:val="27"/>
          <w:szCs w:val="27"/>
          <w:lang w:eastAsia="ru-RU"/>
        </w:rPr>
        <w:t>Процентная ставка 8,5% годовых.</w:t>
      </w:r>
    </w:p>
    <w:p w:rsidR="00EF0259" w:rsidRPr="00EF0259" w:rsidRDefault="00EF0259" w:rsidP="00EF0259">
      <w:pPr>
        <w:shd w:val="clear" w:color="auto" w:fill="FFFFFF"/>
        <w:spacing w:after="0" w:line="240" w:lineRule="auto"/>
        <w:jc w:val="center"/>
        <w:rPr>
          <w:rFonts w:ascii="Geometria" w:eastAsia="Times New Roman" w:hAnsi="Geometria" w:cs="Times New Roman"/>
          <w:color w:val="333333"/>
          <w:sz w:val="24"/>
          <w:szCs w:val="24"/>
          <w:lang w:eastAsia="ru-RU"/>
        </w:rPr>
      </w:pPr>
      <w:r w:rsidRPr="00EF0259">
        <w:rPr>
          <w:rFonts w:ascii="Geometria" w:eastAsia="Times New Roman" w:hAnsi="Geometr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91000" cy="1778000"/>
            <wp:effectExtent l="0" t="0" r="0" b="0"/>
            <wp:docPr id="1" name="Рисунок 1" descr="https://www.rncb.ru/upload/picher/jur-lica/small-biz/%D0%9C%D0%AD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ncb.ru/upload/picher/jur-lica/small-biz/%D0%9C%D0%AD%D0%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259" w:rsidRDefault="00EF0259" w:rsidP="009253F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7"/>
          <w:szCs w:val="27"/>
          <w:lang w:eastAsia="ru-RU"/>
        </w:rPr>
      </w:pPr>
    </w:p>
    <w:p w:rsidR="009253FC" w:rsidRPr="009253FC" w:rsidRDefault="009253FC" w:rsidP="009253FC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color w:val="333333"/>
          <w:sz w:val="27"/>
          <w:szCs w:val="27"/>
          <w:lang w:eastAsia="ru-RU"/>
        </w:rPr>
      </w:pPr>
      <w:r w:rsidRPr="009253FC">
        <w:rPr>
          <w:rFonts w:ascii="Geometria" w:eastAsia="Times New Roman" w:hAnsi="Geometria" w:cs="Times New Roman"/>
          <w:color w:val="333333"/>
          <w:sz w:val="27"/>
          <w:szCs w:val="27"/>
          <w:lang w:eastAsia="ru-RU"/>
        </w:rPr>
        <w:t>Базовые требования к условиям кредитования заемщиков:</w:t>
      </w:r>
    </w:p>
    <w:p w:rsidR="009253FC" w:rsidRPr="009253FC" w:rsidRDefault="009253FC" w:rsidP="009253FC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color w:val="333333"/>
          <w:sz w:val="24"/>
          <w:szCs w:val="24"/>
          <w:lang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3041"/>
      </w:tblGrid>
      <w:tr w:rsidR="009253FC" w:rsidRPr="009253FC" w:rsidTr="007A314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Целевое использование кредитов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инвестиционные цели – 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</w:t>
            </w:r>
          </w:p>
          <w:p w:rsidR="009253FC" w:rsidRPr="009253FC" w:rsidRDefault="009253FC" w:rsidP="009253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</w:tr>
      <w:tr w:rsidR="009253FC" w:rsidRPr="009253FC" w:rsidTr="007A314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Размер кредита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от 3 млн рублей до 1 млрд рублей для кредитов на инвестиционные цели</w:t>
            </w:r>
          </w:p>
          <w:p w:rsidR="009253FC" w:rsidRPr="009253FC" w:rsidRDefault="009253FC" w:rsidP="009253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от 3 млн рублей до 100 млн рублей для кредитов на цели пополнения оборотных средств</w:t>
            </w:r>
          </w:p>
        </w:tc>
      </w:tr>
      <w:tr w:rsidR="009253FC" w:rsidRPr="009253FC" w:rsidTr="007A314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Сроки кредитования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до 10 лет для кредитов на инвестиционные цели</w:t>
            </w:r>
          </w:p>
          <w:p w:rsidR="009253FC" w:rsidRPr="009253FC" w:rsidRDefault="009253FC" w:rsidP="009253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до 3 лет для кредитов на цели пополнения оборотных средств</w:t>
            </w:r>
          </w:p>
        </w:tc>
      </w:tr>
      <w:tr w:rsidR="009253FC" w:rsidRPr="009253FC" w:rsidTr="007A3140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lastRenderedPageBreak/>
              <w:t>Процентная ставка по кредитам</w:t>
            </w:r>
          </w:p>
        </w:tc>
        <w:tc>
          <w:tcPr>
            <w:tcW w:w="1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8,5% годовых без комиссии за выдачу кредита</w:t>
            </w:r>
          </w:p>
        </w:tc>
      </w:tr>
    </w:tbl>
    <w:p w:rsidR="009253FC" w:rsidRPr="009253FC" w:rsidRDefault="009253FC" w:rsidP="009253FC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color w:val="333333"/>
          <w:sz w:val="27"/>
          <w:szCs w:val="27"/>
          <w:lang w:eastAsia="ru-RU"/>
        </w:rPr>
      </w:pPr>
      <w:r w:rsidRPr="009253FC">
        <w:rPr>
          <w:rFonts w:ascii="Geometria" w:eastAsia="Times New Roman" w:hAnsi="Geometria" w:cs="Times New Roman"/>
          <w:color w:val="333333"/>
          <w:sz w:val="27"/>
          <w:szCs w:val="27"/>
          <w:lang w:eastAsia="ru-RU"/>
        </w:rPr>
        <w:t>Базовые требования к заемщикам:</w:t>
      </w:r>
    </w:p>
    <w:p w:rsidR="009253FC" w:rsidRPr="009253FC" w:rsidRDefault="009253FC" w:rsidP="009253FC">
      <w:pPr>
        <w:shd w:val="clear" w:color="auto" w:fill="FFFFFF"/>
        <w:spacing w:after="0" w:line="240" w:lineRule="auto"/>
        <w:rPr>
          <w:rFonts w:ascii="Geometria" w:eastAsia="Times New Roman" w:hAnsi="Geometria" w:cs="Times New Roman"/>
          <w:color w:val="333333"/>
          <w:sz w:val="24"/>
          <w:szCs w:val="24"/>
          <w:lang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1624"/>
      </w:tblGrid>
      <w:tr w:rsidR="009253FC" w:rsidRPr="009253FC" w:rsidTr="007A3140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Нефинансовые требования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заемщик – субъект МСП, соответствующий требованиям Федерального закона от 24 июля 2007 года № 209-ФЗ «О развитии малого и среднего предпринимательства в Российской Федерации», с учетом ограничений, установленных частями 3 и 4 статьи 14 закона «О развитии МСП»</w:t>
            </w:r>
          </w:p>
          <w:p w:rsidR="009253FC" w:rsidRPr="009253FC" w:rsidRDefault="009253FC" w:rsidP="009253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заемщик должен осуществлять деятельность в одной или нескольких отраслях: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сельское хозяйство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обрабатывающее производство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туристская деятельность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деятельность в области образования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водоснабжение, водоотведение, сбор, обработка и утилизация отходов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 (за исключением ресторанов)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деятельность в области культуры, спорта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деятельность в сфере бытовых услуг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 xml:space="preserve">деятельность в сфере розничной торговли при условии, что субъект МСП зарегистрирован и (или) осуществляет такую деятельность на территории </w:t>
            </w:r>
            <w:proofErr w:type="spellStart"/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монопрофильного</w:t>
            </w:r>
            <w:proofErr w:type="spellEnd"/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 xml:space="preserve"> муниципального образования, и доля доходов от ее реализации составляет не менее 70% в общей сумме доходов субъекта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</w:t>
            </w:r>
          </w:p>
          <w:p w:rsidR="009253FC" w:rsidRPr="009253FC" w:rsidRDefault="009253FC" w:rsidP="009253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lastRenderedPageBreak/>
              <w:t>деятельность в сфере розничной торговли при условии, что субъект МСП зарегистрирован и (или) осуществляет такую деятельность на территории Республики Крым и г. Севастополя, и доля доходов от ее реализации составляет не менее 70% в общей сумме доходов субъекта</w:t>
            </w:r>
          </w:p>
        </w:tc>
      </w:tr>
      <w:tr w:rsidR="009253FC" w:rsidRPr="009253FC" w:rsidTr="007A3140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lastRenderedPageBreak/>
              <w:t>Финансовые требования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заемщик должен обладать статусом налогового резидента РФ</w:t>
            </w:r>
          </w:p>
          <w:p w:rsidR="009253FC" w:rsidRPr="009253FC" w:rsidRDefault="009253FC" w:rsidP="009253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в отношении заемщика не должно быть возбуждено производство по делу о банкротстве</w:t>
            </w:r>
          </w:p>
          <w:p w:rsidR="009253FC" w:rsidRPr="009253FC" w:rsidRDefault="009253FC" w:rsidP="009253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заемщик не должен иметь просроченной задолженности по налогам, сборам и иным обязательным бюджетным платежам</w:t>
            </w:r>
          </w:p>
          <w:p w:rsidR="009253FC" w:rsidRPr="009253FC" w:rsidRDefault="009253FC" w:rsidP="009253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заемщик не должен иметь задолженности перед персоналом по заработной плате</w:t>
            </w:r>
          </w:p>
          <w:p w:rsidR="007A3140" w:rsidRPr="007A3140" w:rsidRDefault="009253FC" w:rsidP="007A31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заемщик не должен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заемщику кредита, просроченных на срок свыше 30 календарных дней платежей по обслуживанию кредитного портфеля</w:t>
            </w:r>
          </w:p>
          <w:p w:rsidR="007A3140" w:rsidRPr="009253FC" w:rsidRDefault="007A3140" w:rsidP="007A3140">
            <w:pPr>
              <w:spacing w:before="100" w:beforeAutospacing="1" w:after="100" w:afterAutospacing="1" w:line="240" w:lineRule="auto"/>
              <w:ind w:left="720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</w:p>
        </w:tc>
      </w:tr>
      <w:tr w:rsidR="009253FC" w:rsidRPr="009253FC" w:rsidTr="007A3140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Требования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253FC" w:rsidRPr="009253FC" w:rsidRDefault="009253FC" w:rsidP="009253FC">
            <w:pPr>
              <w:spacing w:after="150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Юридическое лицо – субъект МСП согласно Федеральному закону от 24.07.2007 года № 209-ФЗ «О развитии малого и среднего предпринимательства в Российской Федерации»:</w:t>
            </w:r>
          </w:p>
          <w:p w:rsidR="009253FC" w:rsidRPr="009253FC" w:rsidRDefault="009253FC" w:rsidP="009253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Хозяйственные общества и индивидуальные предприниматели, зарегистрированные в соответствии с Российским законодательством. У хозяйственных обществ суммарная доля участия РФ, субъектов РФ,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не должна превышать 25% (за исключением активов акционерных инвестиционных фондов и закрытых паевых инвестиционных фондов), доля участия иностранных юридических лиц, а также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49%.</w:t>
            </w:r>
          </w:p>
          <w:p w:rsidR="009253FC" w:rsidRPr="009253FC" w:rsidRDefault="009253FC" w:rsidP="009253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не должна превышать:</w:t>
            </w:r>
          </w:p>
          <w:p w:rsidR="009253FC" w:rsidRPr="009253FC" w:rsidRDefault="009253FC" w:rsidP="009253F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от 101 до 250 человек включительно для средних предприятий</w:t>
            </w:r>
          </w:p>
          <w:p w:rsidR="009253FC" w:rsidRPr="009253FC" w:rsidRDefault="009253FC" w:rsidP="009253F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до 100 человек включительно для малых предприятий</w:t>
            </w:r>
          </w:p>
          <w:p w:rsidR="009253FC" w:rsidRPr="009253FC" w:rsidRDefault="009253FC" w:rsidP="009253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Предельные значения выручки от реализации товаров (работ, услуг) за предшествующий календарный год без учета налога на добавленную стоимость составляют не более:</w:t>
            </w:r>
          </w:p>
          <w:p w:rsidR="009253FC" w:rsidRPr="009253FC" w:rsidRDefault="009253FC" w:rsidP="009253F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малые предприятия – 800 млн рублей</w:t>
            </w:r>
          </w:p>
          <w:p w:rsidR="009253FC" w:rsidRPr="009253FC" w:rsidRDefault="009253FC" w:rsidP="009253F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lastRenderedPageBreak/>
              <w:t>средние предприятия – 2 млрд рублей</w:t>
            </w:r>
          </w:p>
          <w:p w:rsidR="009253FC" w:rsidRPr="009253FC" w:rsidRDefault="009253FC" w:rsidP="009253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Юридическое лицо, являющееся контролирующим лицом заемщика (прямо либо опосредованно), не должно быть зарегистрировано в оффшорных зонах, перечень которых утверждается Министерством финансов Российской Федерации. Согласно Федеральному закону от 24 июля 2007 года № 209-ФЗ «О развитии малого и среднего предпринимательства в Российской Федерации» к субъектам МСП не относятся следующие субъекты:</w:t>
            </w:r>
          </w:p>
          <w:p w:rsidR="009253FC" w:rsidRPr="009253FC" w:rsidRDefault="009253FC" w:rsidP="009253F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кредитные организации, страховые организации (за исключением потребительских кооперативов), инвестиционные фонды, негосударственные пенсионные фонды, профессиональные участники рынка ценных бумаг, ломбарды</w:t>
            </w:r>
          </w:p>
          <w:p w:rsidR="009253FC" w:rsidRPr="009253FC" w:rsidRDefault="009253FC" w:rsidP="009253F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участники соглашений о разделе продукции</w:t>
            </w:r>
          </w:p>
          <w:p w:rsidR="009253FC" w:rsidRPr="009253FC" w:rsidRDefault="009253FC" w:rsidP="009253F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осуществляющие предпринимательскую деятельность в сфере игорного бизнеса</w:t>
            </w:r>
          </w:p>
          <w:p w:rsidR="009253FC" w:rsidRPr="009253FC" w:rsidRDefault="009253FC" w:rsidP="009253FC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</w:pPr>
            <w:r w:rsidRPr="009253FC">
              <w:rPr>
                <w:rFonts w:ascii="Geometria" w:eastAsia="Times New Roman" w:hAnsi="Geometria" w:cs="Times New Roman"/>
                <w:sz w:val="24"/>
                <w:szCs w:val="24"/>
                <w:lang w:eastAsia="ru-RU"/>
              </w:rPr>
              <w:t>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      </w:r>
          </w:p>
        </w:tc>
      </w:tr>
    </w:tbl>
    <w:p w:rsidR="00FA6CD0" w:rsidRDefault="00FA6CD0"/>
    <w:sectPr w:rsidR="00FA6CD0" w:rsidSect="00925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E85"/>
    <w:multiLevelType w:val="multilevel"/>
    <w:tmpl w:val="0CF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456F52"/>
    <w:multiLevelType w:val="multilevel"/>
    <w:tmpl w:val="CDBE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5E254D"/>
    <w:multiLevelType w:val="multilevel"/>
    <w:tmpl w:val="524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C77FA"/>
    <w:multiLevelType w:val="multilevel"/>
    <w:tmpl w:val="E36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7E111A"/>
    <w:multiLevelType w:val="multilevel"/>
    <w:tmpl w:val="804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020F35"/>
    <w:multiLevelType w:val="multilevel"/>
    <w:tmpl w:val="367C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69"/>
    <w:rsid w:val="00401336"/>
    <w:rsid w:val="007A3140"/>
    <w:rsid w:val="009253FC"/>
    <w:rsid w:val="009E6769"/>
    <w:rsid w:val="00EF0259"/>
    <w:rsid w:val="00F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9B94-4773-4C5C-AFDE-760B927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14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2019-06-10T06:19:00Z</cp:lastPrinted>
  <dcterms:created xsi:type="dcterms:W3CDTF">2019-06-10T06:02:00Z</dcterms:created>
  <dcterms:modified xsi:type="dcterms:W3CDTF">2019-06-10T08:40:00Z</dcterms:modified>
</cp:coreProperties>
</file>